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33D4" w:rsidRDefault="007D2F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433D4">
        <w:rPr>
          <w:rFonts w:ascii="Times New Roman" w:hAnsi="Times New Roman"/>
          <w:b/>
          <w:sz w:val="28"/>
          <w:szCs w:val="28"/>
        </w:rPr>
        <w:t xml:space="preserve">КРАСНИНСКОГО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ДАНИЛОВСКОГО МУНИЦИПАЛЬНОГО РАЙОНА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ВОЛГОГРАДСКОЙ ОБЛАСТИ</w:t>
      </w:r>
    </w:p>
    <w:p w:rsidR="003939BC" w:rsidRDefault="00E569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Pr="007D2C2B" w:rsidRDefault="007D2C2B">
      <w:pPr>
        <w:pStyle w:val="ad"/>
        <w:tabs>
          <w:tab w:val="left" w:pos="7740"/>
        </w:tabs>
        <w:suppressAutoHyphens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7D2C2B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>ПРОЕКТ</w:t>
      </w:r>
    </w:p>
    <w:p w:rsidR="003939BC" w:rsidRDefault="003939B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05474C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05474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</w:t>
      </w:r>
      <w:r w:rsidR="00B10007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firstLine="709"/>
        <w:jc w:val="both"/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  </w:t>
      </w:r>
    </w:p>
    <w:p w:rsidR="003939BC" w:rsidRPr="001433D4" w:rsidRDefault="007D2FB8">
      <w:pPr>
        <w:ind w:firstLine="709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1433D4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1433D4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1433D4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1433D4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1433D4" w:rsidRDefault="007D2F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</w:t>
      </w:r>
    </w:p>
    <w:p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</w:t>
      </w:r>
      <w:r w:rsidR="001433D4">
        <w:rPr>
          <w:rFonts w:ascii="Times New Roman" w:hAnsi="Times New Roman"/>
          <w:szCs w:val="24"/>
        </w:rPr>
        <w:t>В.В. Бычков.</w:t>
      </w: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1433D4">
      <w:pPr>
        <w:jc w:val="right"/>
      </w:pPr>
      <w:r>
        <w:rPr>
          <w:rFonts w:ascii="Times New Roman" w:hAnsi="Times New Roman"/>
          <w:szCs w:val="24"/>
        </w:rPr>
        <w:t>Краснинского</w:t>
      </w:r>
      <w:r w:rsidR="007D2FB8"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D279BF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05474C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202</w:t>
      </w:r>
      <w:r w:rsidR="0005474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1433D4" w:rsidRPr="001433D4">
        <w:rPr>
          <w:rFonts w:ascii="Times New Roman" w:hAnsi="Times New Roman"/>
          <w:b/>
          <w:szCs w:val="24"/>
        </w:rPr>
        <w:t>Краснинского</w:t>
      </w:r>
      <w:r w:rsidRPr="001433D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05474C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20305C" w:rsidRPr="0020305C" w:rsidRDefault="0020305C" w:rsidP="0020305C">
      <w:pPr>
        <w:pStyle w:val="a7"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 w:rsidRPr="0020305C">
        <w:rPr>
          <w:rFonts w:cs="Arial"/>
          <w:i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20305C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20305C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0305C" w:rsidRPr="0020305C" w:rsidRDefault="0020305C" w:rsidP="0020305C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0305C" w:rsidRPr="0020305C" w:rsidRDefault="0020305C" w:rsidP="0020305C">
      <w:pPr>
        <w:pStyle w:val="a7"/>
        <w:widowControl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0305C" w:rsidRPr="0020305C" w:rsidRDefault="0020305C" w:rsidP="0020305C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20305C">
        <w:rPr>
          <w:rFonts w:cs="Arial"/>
          <w:i w:val="0"/>
          <w:iCs w:val="0"/>
          <w:color w:val="000000"/>
          <w:sz w:val="24"/>
          <w:szCs w:val="24"/>
        </w:rPr>
        <w:t>2) Консультирование. Обращения в течени</w:t>
      </w:r>
      <w:proofErr w:type="gramStart"/>
      <w:r w:rsidRPr="0020305C">
        <w:rPr>
          <w:rFonts w:cs="Arial"/>
          <w:i w:val="0"/>
          <w:iCs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iCs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20305C" w:rsidRPr="0020305C" w:rsidRDefault="0020305C" w:rsidP="00D279BF">
      <w:pPr>
        <w:ind w:firstLine="720"/>
        <w:jc w:val="both"/>
        <w:outlineLvl w:val="0"/>
        <w:rPr>
          <w:szCs w:val="24"/>
        </w:rPr>
      </w:pPr>
    </w:p>
    <w:p w:rsidR="00D84694" w:rsidRPr="00D84694" w:rsidRDefault="00D84694" w:rsidP="00D84694">
      <w:pPr>
        <w:spacing w:line="480" w:lineRule="auto"/>
        <w:ind w:right="478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</w:t>
      </w:r>
      <w:r w:rsidRPr="00D84694">
        <w:rPr>
          <w:rFonts w:ascii="Times New Roman" w:hAnsi="Times New Roman"/>
          <w:b/>
          <w:bCs/>
          <w:szCs w:val="24"/>
        </w:rPr>
        <w:t>Раздел 2. Цели и задачи реализации программы профилактики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D84694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D84694">
        <w:rPr>
          <w:rFonts w:ascii="Times New Roman" w:hAnsi="Times New Roman"/>
          <w:iCs/>
          <w:szCs w:val="24"/>
        </w:rPr>
        <w:t>нарушений</w:t>
      </w:r>
      <w:proofErr w:type="gramEnd"/>
      <w:r w:rsidRPr="00D84694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84694">
        <w:rPr>
          <w:rFonts w:ascii="Times New Roman" w:hAnsi="Times New Roman"/>
          <w:szCs w:val="24"/>
        </w:rPr>
        <w:t xml:space="preserve">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3939BC" w:rsidRPr="00D84694" w:rsidRDefault="00D84694" w:rsidP="00D84694">
      <w:pPr>
        <w:ind w:firstLine="720"/>
        <w:jc w:val="both"/>
        <w:outlineLvl w:val="0"/>
        <w:rPr>
          <w:szCs w:val="24"/>
        </w:rPr>
      </w:pPr>
      <w:r w:rsidRPr="00D84694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3939BC" w:rsidRPr="00D84694" w:rsidRDefault="003939BC">
      <w:pPr>
        <w:pStyle w:val="a7"/>
        <w:rPr>
          <w:sz w:val="24"/>
          <w:szCs w:val="24"/>
        </w:rPr>
      </w:pPr>
    </w:p>
    <w:p w:rsidR="009B755A" w:rsidRPr="009B755A" w:rsidRDefault="009B755A" w:rsidP="009B755A">
      <w:pPr>
        <w:spacing w:before="198"/>
        <w:ind w:right="711"/>
        <w:jc w:val="both"/>
        <w:rPr>
          <w:b/>
          <w:bCs/>
          <w:szCs w:val="24"/>
        </w:rPr>
      </w:pPr>
      <w:bookmarkStart w:id="1" w:name="%D0%A0%D0%B0%D0%B7%D0%B4%D0%B5%D0%BB_2._"/>
      <w:bookmarkEnd w:id="1"/>
      <w:r w:rsidRPr="009B755A">
        <w:rPr>
          <w:rFonts w:ascii="Times New Roman" w:hAnsi="Times New Roman"/>
          <w:b/>
          <w:bCs/>
          <w:szCs w:val="24"/>
        </w:rPr>
        <w:t>Раздел 3. Перечень профилактических мероприятий, срок</w:t>
      </w:r>
      <w:proofErr w:type="gramStart"/>
      <w:r w:rsidRPr="009B755A">
        <w:rPr>
          <w:rFonts w:ascii="Times New Roman" w:hAnsi="Times New Roman"/>
          <w:b/>
          <w:bCs/>
          <w:szCs w:val="24"/>
        </w:rPr>
        <w:t>и(</w:t>
      </w:r>
      <w:proofErr w:type="gramEnd"/>
      <w:r w:rsidRPr="009B755A">
        <w:rPr>
          <w:rFonts w:ascii="Times New Roman" w:hAnsi="Times New Roman"/>
          <w:b/>
          <w:bCs/>
          <w:szCs w:val="24"/>
        </w:rPr>
        <w:t>периодичность) их проведения</w:t>
      </w:r>
    </w:p>
    <w:p w:rsidR="009B755A" w:rsidRDefault="009B755A" w:rsidP="009B755A">
      <w:pPr>
        <w:pStyle w:val="a7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45"/>
        <w:gridCol w:w="4702"/>
        <w:gridCol w:w="1872"/>
      </w:tblGrid>
      <w:tr w:rsidR="009B755A" w:rsidRPr="009B755A" w:rsidTr="00E713D4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bookmarkStart w:id="2" w:name="%2525D0%2525A0%2525D0%2525B0%2525D0%2525"/>
            <w:bookmarkEnd w:id="2"/>
            <w:r w:rsidRPr="009B755A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B755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B755A" w:rsidRPr="009B755A" w:rsidTr="00E713D4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9B755A" w:rsidRPr="009B755A" w:rsidRDefault="009B755A" w:rsidP="00E713D4">
            <w:pPr>
              <w:pStyle w:val="ConsPlusNormal"/>
              <w:jc w:val="both"/>
            </w:pPr>
            <w:r w:rsidRPr="009B755A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9B755A">
              <w:t>своем</w:t>
            </w:r>
            <w:proofErr w:type="gramEnd"/>
            <w:r w:rsidRPr="009B755A"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-разработку схем и/или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содержащей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основные требования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 xml:space="preserve">Обобщение правоприменительной </w:t>
            </w:r>
            <w:r w:rsidRPr="009B755A"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5A"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 w:rsidRPr="009B755A">
              <w:lastRenderedPageBreak/>
              <w:t xml:space="preserve">либо создало угрозу причинения вреда (ущерба) охраняемым законом ценностям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в устной по телефону, посредством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видео-конференц-связи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таким вопроса как: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порядок обжалования решений Контрольного органа;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9B755A" w:rsidRPr="009B755A" w:rsidRDefault="009B755A" w:rsidP="00E713D4">
            <w:pPr>
              <w:pStyle w:val="a7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  <w:r w:rsidRPr="009B755A">
              <w:rPr>
                <w:color w:val="000000"/>
                <w:sz w:val="24"/>
                <w:szCs w:val="24"/>
              </w:rPr>
              <w:t> 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консультирование может осуществляться посредством проведения: </w:t>
            </w:r>
            <w:r w:rsidRPr="009B755A">
              <w:rPr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9B755A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9B755A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B755A" w:rsidRPr="009B755A" w:rsidRDefault="009B755A" w:rsidP="00E713D4">
            <w:pPr>
              <w:pStyle w:val="ConsPlusNormal"/>
              <w:ind w:firstLine="709"/>
              <w:jc w:val="both"/>
            </w:pPr>
            <w:r w:rsidRPr="009B755A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a7"/>
              <w:jc w:val="both"/>
              <w:rPr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</w:tbl>
    <w:p w:rsidR="009B755A" w:rsidRPr="009B755A" w:rsidRDefault="009B755A" w:rsidP="009B755A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3" w:name="%D0%A0%D0%B0%D0%B7%D0%B4%D0%B5%D0%BB_4._"/>
      <w:bookmarkEnd w:id="3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802"/>
        <w:gridCol w:w="2500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:rsidR="003939BC" w:rsidRPr="0005474C" w:rsidRDefault="007D2FB8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№248-ФЗ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«О</w:t>
            </w:r>
            <w:proofErr w:type="gramEnd"/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контроле(надзоре)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B10007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обратив</w:t>
            </w:r>
            <w:proofErr w:type="spellEnd"/>
            <w:r w:rsidRPr="0005474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05474C">
              <w:rPr>
                <w:rFonts w:cs="Times New Roman"/>
                <w:sz w:val="24"/>
                <w:szCs w:val="24"/>
              </w:rPr>
              <w:t>ш</w:t>
            </w:r>
            <w:proofErr w:type="spellStart"/>
            <w:r w:rsidRPr="0005474C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7D2FB8" w:rsidRPr="0005474C">
              <w:rPr>
                <w:rFonts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05474C">
              <w:rPr>
                <w:rFonts w:cs="Times New Roman"/>
                <w:sz w:val="24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42DE6"/>
    <w:rsid w:val="0005474C"/>
    <w:rsid w:val="001433D4"/>
    <w:rsid w:val="0020305C"/>
    <w:rsid w:val="002A484D"/>
    <w:rsid w:val="003939BC"/>
    <w:rsid w:val="006C5F00"/>
    <w:rsid w:val="007B041C"/>
    <w:rsid w:val="007D2C2B"/>
    <w:rsid w:val="007D2FB8"/>
    <w:rsid w:val="008514D7"/>
    <w:rsid w:val="008624A6"/>
    <w:rsid w:val="00992FFD"/>
    <w:rsid w:val="009B755A"/>
    <w:rsid w:val="00A67CDC"/>
    <w:rsid w:val="00B10007"/>
    <w:rsid w:val="00C055EC"/>
    <w:rsid w:val="00CA4007"/>
    <w:rsid w:val="00D279BF"/>
    <w:rsid w:val="00D84694"/>
    <w:rsid w:val="00D90FC1"/>
    <w:rsid w:val="00E5694F"/>
    <w:rsid w:val="00F1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spec</cp:lastModifiedBy>
  <cp:revision>2</cp:revision>
  <cp:lastPrinted>2021-12-02T08:18:00Z</cp:lastPrinted>
  <dcterms:created xsi:type="dcterms:W3CDTF">2022-09-26T10:42:00Z</dcterms:created>
  <dcterms:modified xsi:type="dcterms:W3CDTF">2022-09-26T10:42:00Z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